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182" w:rsidRPr="002314E4" w:rsidRDefault="002314E4" w:rsidP="00A33AEC">
      <w:pPr>
        <w:rPr>
          <w:rFonts w:asciiTheme="majorHAnsi" w:hAnsiTheme="majorHAnsi" w:cstheme="majorHAnsi"/>
          <w:sz w:val="24"/>
          <w:szCs w:val="24"/>
          <w:lang w:val="es-MX"/>
        </w:rPr>
      </w:pPr>
      <w:r w:rsidRPr="002314E4">
        <w:rPr>
          <w:rFonts w:asciiTheme="majorHAnsi" w:hAnsiTheme="majorHAnsi" w:cstheme="majorHAnsi"/>
          <w:sz w:val="24"/>
          <w:szCs w:val="24"/>
          <w:lang w:val="es-MX"/>
        </w:rPr>
        <w:t>Prorroga Empresa Usuaria del Régimen de Zonas Francas.</w:t>
      </w:r>
    </w:p>
    <w:p w:rsidR="002314E4" w:rsidRPr="00CC300D" w:rsidRDefault="002314E4" w:rsidP="00A33AEC">
      <w:pPr>
        <w:rPr>
          <w:rFonts w:asciiTheme="majorHAnsi" w:hAnsiTheme="majorHAnsi" w:cstheme="majorHAnsi"/>
          <w:b/>
          <w:bCs/>
          <w:sz w:val="24"/>
          <w:szCs w:val="24"/>
          <w:lang w:val="es-MX"/>
        </w:rPr>
      </w:pPr>
      <w:r w:rsidRPr="00CC300D">
        <w:rPr>
          <w:rFonts w:asciiTheme="majorHAnsi" w:hAnsiTheme="majorHAnsi" w:cstheme="majorHAnsi"/>
          <w:b/>
          <w:bCs/>
          <w:sz w:val="24"/>
          <w:szCs w:val="24"/>
          <w:lang w:val="es-MX"/>
        </w:rPr>
        <w:t>Ley 917.</w:t>
      </w:r>
    </w:p>
    <w:p w:rsidR="002314E4" w:rsidRDefault="002314E4" w:rsidP="00A33AEC">
      <w:pPr>
        <w:rPr>
          <w:rFonts w:asciiTheme="majorHAnsi" w:hAnsiTheme="majorHAnsi" w:cstheme="majorHAnsi"/>
          <w:sz w:val="24"/>
          <w:szCs w:val="24"/>
          <w:lang w:val="es-MX"/>
        </w:rPr>
      </w:pPr>
      <w:r w:rsidRPr="002314E4">
        <w:rPr>
          <w:rFonts w:asciiTheme="majorHAnsi" w:hAnsiTheme="majorHAnsi" w:cstheme="majorHAnsi"/>
          <w:sz w:val="24"/>
          <w:szCs w:val="24"/>
          <w:lang w:val="es-MX"/>
        </w:rPr>
        <w:t>Articulo 20 Beneficios Fiscales de las Empresas Usuarias de Zonas Francas</w:t>
      </w:r>
      <w:r w:rsidR="00607A64">
        <w:rPr>
          <w:rFonts w:asciiTheme="majorHAnsi" w:hAnsiTheme="majorHAnsi" w:cstheme="majorHAnsi"/>
          <w:sz w:val="24"/>
          <w:szCs w:val="24"/>
          <w:lang w:val="es-MX"/>
        </w:rPr>
        <w:t>.</w:t>
      </w:r>
    </w:p>
    <w:p w:rsidR="00607A64" w:rsidRDefault="00607A64" w:rsidP="00E05CF2">
      <w:pPr>
        <w:pStyle w:val="Prrafodelista"/>
        <w:numPr>
          <w:ilvl w:val="0"/>
          <w:numId w:val="1"/>
        </w:numPr>
        <w:jc w:val="both"/>
        <w:rPr>
          <w:rFonts w:asciiTheme="majorHAnsi" w:hAnsiTheme="majorHAnsi" w:cstheme="majorHAnsi"/>
          <w:sz w:val="24"/>
          <w:szCs w:val="24"/>
          <w:lang w:val="es-MX"/>
        </w:rPr>
      </w:pPr>
      <w:r>
        <w:rPr>
          <w:rFonts w:asciiTheme="majorHAnsi" w:hAnsiTheme="majorHAnsi" w:cstheme="majorHAnsi"/>
          <w:sz w:val="24"/>
          <w:szCs w:val="24"/>
          <w:lang w:val="es-MX"/>
        </w:rPr>
        <w:t>Excepción del 100% durante los primeros 10 años de funcionamiento y del 60% del undécimo año en adelante del pago del impuesto sobre la renta generada por sus actividades en La Zona. El periodo inicial</w:t>
      </w:r>
      <w:r w:rsidR="00E05CF2">
        <w:rPr>
          <w:rFonts w:asciiTheme="majorHAnsi" w:hAnsiTheme="majorHAnsi" w:cstheme="majorHAnsi"/>
          <w:sz w:val="24"/>
          <w:szCs w:val="24"/>
          <w:lang w:val="es-MX"/>
        </w:rPr>
        <w:t xml:space="preserve"> de 10 años de exención del 100% del pago del Impuesto sobre la Renta generado por sus actividades en la zona podrá ser prorrogado por una sola vez, por un período igual previa autorización de la </w:t>
      </w:r>
      <w:r w:rsidR="006A791F">
        <w:rPr>
          <w:rFonts w:asciiTheme="majorHAnsi" w:hAnsiTheme="majorHAnsi" w:cstheme="majorHAnsi"/>
          <w:sz w:val="24"/>
          <w:szCs w:val="24"/>
          <w:lang w:val="es-MX"/>
        </w:rPr>
        <w:t>Comisión</w:t>
      </w:r>
      <w:r w:rsidR="00E05CF2">
        <w:rPr>
          <w:rFonts w:asciiTheme="majorHAnsi" w:hAnsiTheme="majorHAnsi" w:cstheme="majorHAnsi"/>
          <w:sz w:val="24"/>
          <w:szCs w:val="24"/>
          <w:lang w:val="es-MX"/>
        </w:rPr>
        <w:t xml:space="preserve"> Nacional de Zonas Francas. Esta </w:t>
      </w:r>
      <w:r w:rsidR="006A791F">
        <w:rPr>
          <w:rFonts w:asciiTheme="majorHAnsi" w:hAnsiTheme="majorHAnsi" w:cstheme="majorHAnsi"/>
          <w:sz w:val="24"/>
          <w:szCs w:val="24"/>
          <w:lang w:val="es-MX"/>
        </w:rPr>
        <w:t>exención</w:t>
      </w:r>
      <w:r w:rsidR="00E05CF2">
        <w:rPr>
          <w:rFonts w:asciiTheme="majorHAnsi" w:hAnsiTheme="majorHAnsi" w:cstheme="majorHAnsi"/>
          <w:sz w:val="24"/>
          <w:szCs w:val="24"/>
          <w:lang w:val="es-MX"/>
        </w:rPr>
        <w:t xml:space="preserve"> no incluye los impuestos por ingresos personales, salarios, sueldos o emolumentos pagados al personal </w:t>
      </w:r>
      <w:r w:rsidR="006A791F">
        <w:rPr>
          <w:rFonts w:asciiTheme="majorHAnsi" w:hAnsiTheme="majorHAnsi" w:cstheme="majorHAnsi"/>
          <w:sz w:val="24"/>
          <w:szCs w:val="24"/>
          <w:lang w:val="es-MX"/>
        </w:rPr>
        <w:t>nicaragüense</w:t>
      </w:r>
      <w:r w:rsidR="00E05CF2">
        <w:rPr>
          <w:rFonts w:asciiTheme="majorHAnsi" w:hAnsiTheme="majorHAnsi" w:cstheme="majorHAnsi"/>
          <w:sz w:val="24"/>
          <w:szCs w:val="24"/>
          <w:lang w:val="es-MX"/>
        </w:rPr>
        <w:t xml:space="preserve"> o extranjero que trabaje en la empresa establecida en La Zona, pero si incluye los pagos a extranjeros no residentes por concepto de intereses sobre prestamos, por comisiones, honorarios y remesas por servicios legales en el exterior o Nicaragua y los de promoción, mercadeo, asesoría y afines; pagos por los cuales esas empresas no tendrán que hacer ninguna </w:t>
      </w:r>
      <w:r w:rsidR="006A791F">
        <w:rPr>
          <w:rFonts w:asciiTheme="majorHAnsi" w:hAnsiTheme="majorHAnsi" w:cstheme="majorHAnsi"/>
          <w:sz w:val="24"/>
          <w:szCs w:val="24"/>
          <w:lang w:val="es-MX"/>
        </w:rPr>
        <w:t xml:space="preserve">retención. </w:t>
      </w:r>
    </w:p>
    <w:p w:rsidR="006A791F" w:rsidRPr="00CC300D" w:rsidRDefault="006A791F" w:rsidP="006A791F">
      <w:pPr>
        <w:jc w:val="both"/>
        <w:rPr>
          <w:rFonts w:asciiTheme="majorHAnsi" w:hAnsiTheme="majorHAnsi" w:cstheme="majorHAnsi"/>
          <w:b/>
          <w:bCs/>
          <w:sz w:val="24"/>
          <w:szCs w:val="24"/>
          <w:lang w:val="es-MX"/>
        </w:rPr>
      </w:pPr>
      <w:r w:rsidRPr="00CC300D">
        <w:rPr>
          <w:rFonts w:asciiTheme="majorHAnsi" w:hAnsiTheme="majorHAnsi" w:cstheme="majorHAnsi"/>
          <w:b/>
          <w:bCs/>
          <w:sz w:val="24"/>
          <w:szCs w:val="24"/>
          <w:lang w:val="es-MX"/>
        </w:rPr>
        <w:t>Reglamento de la Ley 917, Decreto 12-2016</w:t>
      </w:r>
      <w:bookmarkStart w:id="0" w:name="_GoBack"/>
      <w:bookmarkEnd w:id="0"/>
    </w:p>
    <w:p w:rsidR="006A791F" w:rsidRDefault="006A791F" w:rsidP="006A791F">
      <w:pPr>
        <w:jc w:val="both"/>
        <w:rPr>
          <w:rFonts w:asciiTheme="majorHAnsi" w:hAnsiTheme="majorHAnsi" w:cstheme="majorHAnsi"/>
          <w:sz w:val="24"/>
          <w:szCs w:val="24"/>
          <w:lang w:val="es-MX"/>
        </w:rPr>
      </w:pPr>
      <w:r>
        <w:rPr>
          <w:rFonts w:asciiTheme="majorHAnsi" w:hAnsiTheme="majorHAnsi" w:cstheme="majorHAnsi"/>
          <w:sz w:val="24"/>
          <w:szCs w:val="24"/>
          <w:lang w:val="es-MX"/>
        </w:rPr>
        <w:t>Artículo 25).  Prorroga del periodo de exención del IR. El periodo de 10 años de excepción del 100% del impuesto sobre la renta (IR) generado por las actividades en la Zona, al cual se refiere el Inciso 1) del Articulo 20 de la Ley No. 917 para las empresas Usuarias, podrá ser prorrogado por una sola vez, por un periodo igual</w:t>
      </w:r>
      <w:r w:rsidR="00604DAF">
        <w:rPr>
          <w:rFonts w:asciiTheme="majorHAnsi" w:hAnsiTheme="majorHAnsi" w:cstheme="majorHAnsi"/>
          <w:sz w:val="24"/>
          <w:szCs w:val="24"/>
          <w:lang w:val="es-MX"/>
        </w:rPr>
        <w:t>, debiendo para ello la empresa Usuaria cumplir con los siguientes requisitos:</w:t>
      </w:r>
    </w:p>
    <w:p w:rsidR="00604DAF" w:rsidRDefault="00604DAF" w:rsidP="00604DAF">
      <w:pPr>
        <w:pStyle w:val="Prrafodelista"/>
        <w:numPr>
          <w:ilvl w:val="0"/>
          <w:numId w:val="2"/>
        </w:numPr>
        <w:jc w:val="both"/>
        <w:rPr>
          <w:rFonts w:asciiTheme="majorHAnsi" w:hAnsiTheme="majorHAnsi" w:cstheme="majorHAnsi"/>
          <w:sz w:val="24"/>
          <w:szCs w:val="24"/>
          <w:lang w:val="es-MX"/>
        </w:rPr>
      </w:pPr>
      <w:r>
        <w:rPr>
          <w:rFonts w:asciiTheme="majorHAnsi" w:hAnsiTheme="majorHAnsi" w:cstheme="majorHAnsi"/>
          <w:sz w:val="24"/>
          <w:szCs w:val="24"/>
          <w:lang w:val="es-MX"/>
        </w:rPr>
        <w:t>Estar solvente con las obligaciones ante la CNZF, INSS, INATEC y MITRAB</w:t>
      </w:r>
    </w:p>
    <w:p w:rsidR="00604DAF" w:rsidRDefault="00604DAF" w:rsidP="00604DAF">
      <w:pPr>
        <w:pStyle w:val="Prrafodelista"/>
        <w:numPr>
          <w:ilvl w:val="0"/>
          <w:numId w:val="2"/>
        </w:numPr>
        <w:jc w:val="both"/>
        <w:rPr>
          <w:rFonts w:asciiTheme="majorHAnsi" w:hAnsiTheme="majorHAnsi" w:cstheme="majorHAnsi"/>
          <w:sz w:val="24"/>
          <w:szCs w:val="24"/>
          <w:lang w:val="es-MX"/>
        </w:rPr>
      </w:pPr>
      <w:r>
        <w:rPr>
          <w:rFonts w:asciiTheme="majorHAnsi" w:hAnsiTheme="majorHAnsi" w:cstheme="majorHAnsi"/>
          <w:sz w:val="24"/>
          <w:szCs w:val="24"/>
          <w:lang w:val="es-MX"/>
        </w:rPr>
        <w:t>Realizar el pago por tramite de prórroga.</w:t>
      </w:r>
    </w:p>
    <w:p w:rsidR="00604DAF" w:rsidRDefault="00604DAF" w:rsidP="00604DAF">
      <w:pPr>
        <w:pStyle w:val="Prrafodelista"/>
        <w:numPr>
          <w:ilvl w:val="0"/>
          <w:numId w:val="2"/>
        </w:numPr>
        <w:jc w:val="both"/>
        <w:rPr>
          <w:rFonts w:asciiTheme="majorHAnsi" w:hAnsiTheme="majorHAnsi" w:cstheme="majorHAnsi"/>
          <w:sz w:val="24"/>
          <w:szCs w:val="24"/>
          <w:lang w:val="es-MX"/>
        </w:rPr>
      </w:pPr>
      <w:r>
        <w:rPr>
          <w:rFonts w:asciiTheme="majorHAnsi" w:hAnsiTheme="majorHAnsi" w:cstheme="majorHAnsi"/>
          <w:sz w:val="24"/>
          <w:szCs w:val="24"/>
          <w:lang w:val="es-MX"/>
        </w:rPr>
        <w:t>Haber ejecutado el proyecto del primer periodo conforme los parámetros aprobados por la CNZF para la empresa solicitante.</w:t>
      </w:r>
    </w:p>
    <w:p w:rsidR="00604DAF" w:rsidRDefault="00604DAF" w:rsidP="00604DAF">
      <w:pPr>
        <w:pStyle w:val="Prrafodelista"/>
        <w:numPr>
          <w:ilvl w:val="0"/>
          <w:numId w:val="2"/>
        </w:numPr>
        <w:jc w:val="both"/>
        <w:rPr>
          <w:rFonts w:asciiTheme="majorHAnsi" w:hAnsiTheme="majorHAnsi" w:cstheme="majorHAnsi"/>
          <w:sz w:val="24"/>
          <w:szCs w:val="24"/>
          <w:lang w:val="es-MX"/>
        </w:rPr>
      </w:pPr>
      <w:r>
        <w:rPr>
          <w:rFonts w:asciiTheme="majorHAnsi" w:hAnsiTheme="majorHAnsi" w:cstheme="majorHAnsi"/>
          <w:sz w:val="24"/>
          <w:szCs w:val="24"/>
          <w:lang w:val="es-MX"/>
        </w:rPr>
        <w:t>Remitir carta de solicitud de prorroga al presidente de la CNZF con al menos 30 días de anticipación a la fecha de vencimiento del periodo de 10 años, conforme a su Certificado de Aprobación.</w:t>
      </w:r>
    </w:p>
    <w:p w:rsidR="00604DAF" w:rsidRDefault="00604DAF" w:rsidP="00604DAF">
      <w:pPr>
        <w:pStyle w:val="Prrafodelista"/>
        <w:numPr>
          <w:ilvl w:val="0"/>
          <w:numId w:val="2"/>
        </w:numPr>
        <w:jc w:val="both"/>
        <w:rPr>
          <w:rFonts w:asciiTheme="majorHAnsi" w:hAnsiTheme="majorHAnsi" w:cstheme="majorHAnsi"/>
          <w:sz w:val="24"/>
          <w:szCs w:val="24"/>
          <w:lang w:val="es-MX"/>
        </w:rPr>
      </w:pPr>
      <w:r>
        <w:rPr>
          <w:rFonts w:asciiTheme="majorHAnsi" w:hAnsiTheme="majorHAnsi" w:cstheme="majorHAnsi"/>
          <w:sz w:val="24"/>
          <w:szCs w:val="24"/>
          <w:lang w:val="es-MX"/>
        </w:rPr>
        <w:t>Presentar un informe de la actividad realizada durante el primer periodo de su funcionamiento.</w:t>
      </w:r>
    </w:p>
    <w:p w:rsidR="00604DAF" w:rsidRDefault="00604DAF" w:rsidP="00604DAF">
      <w:pPr>
        <w:pStyle w:val="Prrafodelista"/>
        <w:numPr>
          <w:ilvl w:val="0"/>
          <w:numId w:val="2"/>
        </w:numPr>
        <w:jc w:val="both"/>
        <w:rPr>
          <w:rFonts w:asciiTheme="majorHAnsi" w:hAnsiTheme="majorHAnsi" w:cstheme="majorHAnsi"/>
          <w:sz w:val="24"/>
          <w:szCs w:val="24"/>
          <w:lang w:val="es-MX"/>
        </w:rPr>
      </w:pPr>
      <w:r>
        <w:rPr>
          <w:rFonts w:asciiTheme="majorHAnsi" w:hAnsiTheme="majorHAnsi" w:cstheme="majorHAnsi"/>
          <w:sz w:val="24"/>
          <w:szCs w:val="24"/>
          <w:lang w:val="es-MX"/>
        </w:rPr>
        <w:t xml:space="preserve">Cualquier otro requisito que apruebe la comisión. </w:t>
      </w:r>
    </w:p>
    <w:p w:rsidR="00604DAF" w:rsidRDefault="00604DAF" w:rsidP="00604DAF">
      <w:pPr>
        <w:jc w:val="both"/>
        <w:rPr>
          <w:rFonts w:asciiTheme="majorHAnsi" w:hAnsiTheme="majorHAnsi" w:cstheme="majorHAnsi"/>
          <w:sz w:val="24"/>
          <w:szCs w:val="24"/>
          <w:lang w:val="es-MX"/>
        </w:rPr>
      </w:pPr>
      <w:r>
        <w:rPr>
          <w:rFonts w:asciiTheme="majorHAnsi" w:hAnsiTheme="majorHAnsi" w:cstheme="majorHAnsi"/>
          <w:sz w:val="24"/>
          <w:szCs w:val="24"/>
          <w:lang w:val="es-MX"/>
        </w:rPr>
        <w:t>Corresponderá a la CNZF aprobar las solicitudes de prorroga del periodo de excepción del 100% del impuesto sobre la renta (IR), o denegarlas cuando no se ajusten a los requisitos establecidos en la Ley No. 917 y este Reglamento, o cuando las mismas no estén enmarcadas dentro de los planes económicos y sociales del país.</w:t>
      </w:r>
    </w:p>
    <w:p w:rsidR="00604DAF" w:rsidRDefault="00604DAF" w:rsidP="00604DAF">
      <w:pPr>
        <w:jc w:val="both"/>
        <w:rPr>
          <w:rFonts w:asciiTheme="majorHAnsi" w:hAnsiTheme="majorHAnsi" w:cstheme="majorHAnsi"/>
          <w:sz w:val="24"/>
          <w:szCs w:val="24"/>
          <w:lang w:val="es-MX"/>
        </w:rPr>
      </w:pPr>
      <w:r>
        <w:rPr>
          <w:rFonts w:asciiTheme="majorHAnsi" w:hAnsiTheme="majorHAnsi" w:cstheme="majorHAnsi"/>
          <w:sz w:val="24"/>
          <w:szCs w:val="24"/>
          <w:lang w:val="es-MX"/>
        </w:rPr>
        <w:t xml:space="preserve">El proceso de aprobación de la prórroga no será causal para suspender las operaciones aduaneras, fiscales y de medio ambiente por parte de las autoridades competentes. </w:t>
      </w:r>
    </w:p>
    <w:p w:rsidR="00604DAF" w:rsidRDefault="00604DAF" w:rsidP="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Para completar su solicitud de prórroga</w:t>
      </w:r>
      <w:r>
        <w:rPr>
          <w:rFonts w:ascii="Calibri Light" w:hAnsi="Calibri Light" w:cs="Calibri Light"/>
          <w:color w:val="1F497D"/>
          <w:sz w:val="24"/>
          <w:szCs w:val="24"/>
          <w:lang w:eastAsia="es-NI"/>
        </w:rPr>
        <w:t xml:space="preserve"> </w:t>
      </w:r>
      <w:r>
        <w:rPr>
          <w:rFonts w:ascii="Calibri Light" w:hAnsi="Calibri Light" w:cs="Calibri Light"/>
          <w:sz w:val="24"/>
          <w:szCs w:val="24"/>
          <w:lang w:eastAsia="es-NI"/>
        </w:rPr>
        <w:t>necesitamos nos indique la inversión</w:t>
      </w:r>
      <w:r>
        <w:rPr>
          <w:rFonts w:ascii="Calibri Light" w:hAnsi="Calibri Light" w:cs="Calibri Light"/>
          <w:color w:val="1F497D"/>
          <w:sz w:val="24"/>
          <w:szCs w:val="24"/>
          <w:lang w:eastAsia="es-NI"/>
        </w:rPr>
        <w:t xml:space="preserve">, </w:t>
      </w:r>
      <w:r>
        <w:rPr>
          <w:rFonts w:ascii="Calibri Light" w:hAnsi="Calibri Light" w:cs="Calibri Light"/>
          <w:sz w:val="24"/>
          <w:szCs w:val="24"/>
          <w:lang w:eastAsia="es-NI"/>
        </w:rPr>
        <w:t xml:space="preserve">generación de empleos y exportaciones ha </w:t>
      </w:r>
      <w:r>
        <w:rPr>
          <w:rFonts w:ascii="Calibri Light" w:hAnsi="Calibri Light" w:cs="Calibri Light"/>
          <w:color w:val="000000"/>
          <w:sz w:val="24"/>
          <w:szCs w:val="24"/>
          <w:lang w:eastAsia="es-NI"/>
        </w:rPr>
        <w:t xml:space="preserve">realizado desde </w:t>
      </w:r>
      <w:r w:rsidR="00CC300D">
        <w:rPr>
          <w:rFonts w:ascii="Calibri Light" w:hAnsi="Calibri Light" w:cs="Calibri Light"/>
          <w:color w:val="000000"/>
          <w:sz w:val="24"/>
          <w:szCs w:val="24"/>
          <w:lang w:eastAsia="es-NI"/>
        </w:rPr>
        <w:t>su inicio de operaciones</w:t>
      </w:r>
      <w:r>
        <w:rPr>
          <w:rFonts w:ascii="Calibri Light" w:hAnsi="Calibri Light" w:cs="Calibri Light"/>
          <w:color w:val="000000"/>
          <w:sz w:val="24"/>
          <w:szCs w:val="24"/>
          <w:lang w:eastAsia="es-NI"/>
        </w:rPr>
        <w:t xml:space="preserve">, a modo de sugerencia a continuación </w:t>
      </w:r>
      <w:r>
        <w:rPr>
          <w:rFonts w:ascii="Calibri Light" w:hAnsi="Calibri Light" w:cs="Calibri Light"/>
          <w:sz w:val="24"/>
          <w:szCs w:val="24"/>
          <w:lang w:eastAsia="es-NI"/>
        </w:rPr>
        <w:t>encontrara cuadros que le podría servir de guía para llenar la información que estamos solicitando.</w:t>
      </w:r>
    </w:p>
    <w:p w:rsidR="00604DAF" w:rsidRDefault="00604DAF" w:rsidP="00604DAF">
      <w:pPr>
        <w:spacing w:line="240" w:lineRule="atLeast"/>
        <w:rPr>
          <w:rFonts w:ascii="Calibri Light" w:hAnsi="Calibri Light" w:cs="Calibri Light"/>
          <w:sz w:val="24"/>
          <w:szCs w:val="24"/>
          <w:lang w:eastAsia="es-NI"/>
        </w:rPr>
      </w:pPr>
    </w:p>
    <w:tbl>
      <w:tblPr>
        <w:tblW w:w="4420" w:type="dxa"/>
        <w:tblInd w:w="-3" w:type="dxa"/>
        <w:tblCellMar>
          <w:left w:w="0" w:type="dxa"/>
          <w:right w:w="0" w:type="dxa"/>
        </w:tblCellMar>
        <w:tblLook w:val="04A0" w:firstRow="1" w:lastRow="0" w:firstColumn="1" w:lastColumn="0" w:noHBand="0" w:noVBand="1"/>
      </w:tblPr>
      <w:tblGrid>
        <w:gridCol w:w="1200"/>
        <w:gridCol w:w="3220"/>
      </w:tblGrid>
      <w:tr w:rsidR="00604DAF" w:rsidTr="00604DAF">
        <w:trPr>
          <w:trHeight w:val="300"/>
        </w:trPr>
        <w:tc>
          <w:tcPr>
            <w:tcW w:w="12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Año</w:t>
            </w:r>
          </w:p>
        </w:tc>
        <w:tc>
          <w:tcPr>
            <w:tcW w:w="32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Inversión en Dólares</w:t>
            </w:r>
          </w:p>
        </w:tc>
      </w:tr>
      <w:tr w:rsidR="00604DAF" w:rsidTr="00604DAF">
        <w:trPr>
          <w:trHeight w:val="300"/>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2009</w:t>
            </w:r>
          </w:p>
        </w:tc>
        <w:tc>
          <w:tcPr>
            <w:tcW w:w="322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604DAF" w:rsidRDefault="00604DAF">
            <w:pPr>
              <w:spacing w:line="240" w:lineRule="atLeast"/>
              <w:rPr>
                <w:rFonts w:ascii="Calibri Light" w:hAnsi="Calibri Light" w:cs="Calibri Light"/>
                <w:sz w:val="24"/>
                <w:szCs w:val="24"/>
                <w:lang w:eastAsia="es-NI"/>
              </w:rPr>
            </w:pPr>
          </w:p>
        </w:tc>
      </w:tr>
      <w:tr w:rsidR="00604DAF" w:rsidTr="00604DAF">
        <w:trPr>
          <w:trHeight w:val="300"/>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2010</w:t>
            </w:r>
          </w:p>
        </w:tc>
        <w:tc>
          <w:tcPr>
            <w:tcW w:w="3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 </w:t>
            </w:r>
          </w:p>
        </w:tc>
      </w:tr>
      <w:tr w:rsidR="00604DAF" w:rsidTr="00604DAF">
        <w:trPr>
          <w:trHeight w:val="300"/>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2011</w:t>
            </w:r>
          </w:p>
        </w:tc>
        <w:tc>
          <w:tcPr>
            <w:tcW w:w="3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 </w:t>
            </w:r>
          </w:p>
        </w:tc>
      </w:tr>
      <w:tr w:rsidR="00604DAF" w:rsidTr="00604DAF">
        <w:trPr>
          <w:trHeight w:val="300"/>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2012</w:t>
            </w:r>
          </w:p>
        </w:tc>
        <w:tc>
          <w:tcPr>
            <w:tcW w:w="3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 </w:t>
            </w:r>
          </w:p>
        </w:tc>
      </w:tr>
      <w:tr w:rsidR="00604DAF" w:rsidTr="00604DAF">
        <w:trPr>
          <w:trHeight w:val="300"/>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2013</w:t>
            </w:r>
          </w:p>
        </w:tc>
        <w:tc>
          <w:tcPr>
            <w:tcW w:w="3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 </w:t>
            </w:r>
          </w:p>
        </w:tc>
      </w:tr>
      <w:tr w:rsidR="00604DAF" w:rsidTr="00604DAF">
        <w:trPr>
          <w:trHeight w:val="300"/>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2014</w:t>
            </w:r>
          </w:p>
        </w:tc>
        <w:tc>
          <w:tcPr>
            <w:tcW w:w="3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 </w:t>
            </w:r>
          </w:p>
        </w:tc>
      </w:tr>
      <w:tr w:rsidR="00604DAF" w:rsidTr="00604DAF">
        <w:trPr>
          <w:trHeight w:val="300"/>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2015</w:t>
            </w:r>
          </w:p>
        </w:tc>
        <w:tc>
          <w:tcPr>
            <w:tcW w:w="3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 </w:t>
            </w:r>
          </w:p>
        </w:tc>
      </w:tr>
      <w:tr w:rsidR="00604DAF" w:rsidTr="00604DAF">
        <w:trPr>
          <w:trHeight w:val="300"/>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2016</w:t>
            </w:r>
          </w:p>
        </w:tc>
        <w:tc>
          <w:tcPr>
            <w:tcW w:w="3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 </w:t>
            </w:r>
          </w:p>
        </w:tc>
      </w:tr>
      <w:tr w:rsidR="00604DAF" w:rsidTr="00604DAF">
        <w:trPr>
          <w:trHeight w:val="300"/>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2017</w:t>
            </w:r>
          </w:p>
        </w:tc>
        <w:tc>
          <w:tcPr>
            <w:tcW w:w="3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 </w:t>
            </w:r>
          </w:p>
        </w:tc>
      </w:tr>
      <w:tr w:rsidR="00604DAF" w:rsidTr="00604DAF">
        <w:trPr>
          <w:trHeight w:val="300"/>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2018</w:t>
            </w:r>
          </w:p>
        </w:tc>
        <w:tc>
          <w:tcPr>
            <w:tcW w:w="322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604DAF" w:rsidRDefault="00604DAF">
            <w:pPr>
              <w:spacing w:line="240" w:lineRule="atLeast"/>
              <w:rPr>
                <w:rFonts w:ascii="Calibri Light" w:hAnsi="Calibri Light" w:cs="Calibri Light"/>
                <w:sz w:val="24"/>
                <w:szCs w:val="24"/>
                <w:lang w:eastAsia="es-NI"/>
              </w:rPr>
            </w:pPr>
          </w:p>
        </w:tc>
      </w:tr>
      <w:tr w:rsidR="00604DAF" w:rsidTr="00604DAF">
        <w:trPr>
          <w:trHeight w:val="300"/>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TOTAL</w:t>
            </w:r>
          </w:p>
        </w:tc>
        <w:tc>
          <w:tcPr>
            <w:tcW w:w="3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 </w:t>
            </w:r>
          </w:p>
        </w:tc>
      </w:tr>
    </w:tbl>
    <w:p w:rsidR="00604DAF" w:rsidRDefault="00604DAF" w:rsidP="00604DAF">
      <w:pPr>
        <w:spacing w:line="240" w:lineRule="atLeast"/>
        <w:rPr>
          <w:rFonts w:ascii="Calibri Light" w:hAnsi="Calibri Light" w:cs="Calibri Light"/>
          <w:sz w:val="24"/>
          <w:szCs w:val="24"/>
          <w:lang w:eastAsia="es-NI"/>
        </w:rPr>
      </w:pPr>
    </w:p>
    <w:tbl>
      <w:tblPr>
        <w:tblW w:w="4395" w:type="dxa"/>
        <w:tblInd w:w="-8" w:type="dxa"/>
        <w:tblCellMar>
          <w:left w:w="0" w:type="dxa"/>
          <w:right w:w="0" w:type="dxa"/>
        </w:tblCellMar>
        <w:tblLook w:val="04A0" w:firstRow="1" w:lastRow="0" w:firstColumn="1" w:lastColumn="0" w:noHBand="0" w:noVBand="1"/>
      </w:tblPr>
      <w:tblGrid>
        <w:gridCol w:w="1200"/>
        <w:gridCol w:w="3195"/>
      </w:tblGrid>
      <w:tr w:rsidR="00604DAF" w:rsidTr="00604DAF">
        <w:trPr>
          <w:trHeight w:val="315"/>
        </w:trPr>
        <w:tc>
          <w:tcPr>
            <w:tcW w:w="12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Año</w:t>
            </w:r>
          </w:p>
        </w:tc>
        <w:tc>
          <w:tcPr>
            <w:tcW w:w="319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Generación de Empleos</w:t>
            </w:r>
          </w:p>
        </w:tc>
      </w:tr>
      <w:tr w:rsidR="00604DAF" w:rsidTr="00604DAF">
        <w:trPr>
          <w:trHeight w:val="31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2009</w:t>
            </w:r>
          </w:p>
        </w:tc>
        <w:tc>
          <w:tcPr>
            <w:tcW w:w="3195"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04DAF" w:rsidRDefault="00604DAF">
            <w:pPr>
              <w:spacing w:line="240" w:lineRule="atLeast"/>
              <w:rPr>
                <w:rFonts w:ascii="Calibri Light" w:hAnsi="Calibri Light" w:cs="Calibri Light"/>
                <w:sz w:val="24"/>
                <w:szCs w:val="24"/>
                <w:lang w:eastAsia="es-NI"/>
              </w:rPr>
            </w:pPr>
          </w:p>
        </w:tc>
      </w:tr>
      <w:tr w:rsidR="00604DAF" w:rsidTr="00604DAF">
        <w:trPr>
          <w:trHeight w:val="31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2010</w:t>
            </w:r>
          </w:p>
        </w:tc>
        <w:tc>
          <w:tcPr>
            <w:tcW w:w="3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 </w:t>
            </w:r>
          </w:p>
        </w:tc>
      </w:tr>
      <w:tr w:rsidR="00604DAF" w:rsidTr="00604DAF">
        <w:trPr>
          <w:trHeight w:val="31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2011</w:t>
            </w:r>
          </w:p>
        </w:tc>
        <w:tc>
          <w:tcPr>
            <w:tcW w:w="3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 </w:t>
            </w:r>
          </w:p>
        </w:tc>
      </w:tr>
      <w:tr w:rsidR="00604DAF" w:rsidTr="00604DAF">
        <w:trPr>
          <w:trHeight w:val="31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2012</w:t>
            </w:r>
          </w:p>
        </w:tc>
        <w:tc>
          <w:tcPr>
            <w:tcW w:w="3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 </w:t>
            </w:r>
          </w:p>
        </w:tc>
      </w:tr>
      <w:tr w:rsidR="00604DAF" w:rsidTr="00604DAF">
        <w:trPr>
          <w:trHeight w:val="31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2013</w:t>
            </w:r>
          </w:p>
        </w:tc>
        <w:tc>
          <w:tcPr>
            <w:tcW w:w="3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 </w:t>
            </w:r>
          </w:p>
        </w:tc>
      </w:tr>
      <w:tr w:rsidR="00604DAF" w:rsidTr="00604DAF">
        <w:trPr>
          <w:trHeight w:val="31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2014</w:t>
            </w:r>
          </w:p>
        </w:tc>
        <w:tc>
          <w:tcPr>
            <w:tcW w:w="3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 </w:t>
            </w:r>
          </w:p>
        </w:tc>
      </w:tr>
      <w:tr w:rsidR="00604DAF" w:rsidTr="00604DAF">
        <w:trPr>
          <w:trHeight w:val="31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2015</w:t>
            </w:r>
          </w:p>
        </w:tc>
        <w:tc>
          <w:tcPr>
            <w:tcW w:w="3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 </w:t>
            </w:r>
          </w:p>
        </w:tc>
      </w:tr>
      <w:tr w:rsidR="00604DAF" w:rsidTr="00604DAF">
        <w:trPr>
          <w:trHeight w:val="31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2016</w:t>
            </w:r>
          </w:p>
        </w:tc>
        <w:tc>
          <w:tcPr>
            <w:tcW w:w="3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 </w:t>
            </w:r>
          </w:p>
        </w:tc>
      </w:tr>
      <w:tr w:rsidR="00604DAF" w:rsidTr="00604DAF">
        <w:trPr>
          <w:trHeight w:val="31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2017</w:t>
            </w:r>
          </w:p>
        </w:tc>
        <w:tc>
          <w:tcPr>
            <w:tcW w:w="3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 </w:t>
            </w:r>
          </w:p>
        </w:tc>
      </w:tr>
      <w:tr w:rsidR="00604DAF" w:rsidTr="00604DAF">
        <w:trPr>
          <w:trHeight w:val="31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2018</w:t>
            </w:r>
          </w:p>
        </w:tc>
        <w:tc>
          <w:tcPr>
            <w:tcW w:w="3195"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04DAF" w:rsidRDefault="00604DAF">
            <w:pPr>
              <w:spacing w:line="240" w:lineRule="atLeast"/>
              <w:rPr>
                <w:rFonts w:ascii="Calibri Light" w:hAnsi="Calibri Light" w:cs="Calibri Light"/>
                <w:sz w:val="24"/>
                <w:szCs w:val="24"/>
                <w:lang w:eastAsia="es-NI"/>
              </w:rPr>
            </w:pPr>
          </w:p>
        </w:tc>
      </w:tr>
      <w:tr w:rsidR="00604DAF" w:rsidTr="00604DAF">
        <w:trPr>
          <w:trHeight w:val="31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TOTAL</w:t>
            </w:r>
          </w:p>
        </w:tc>
        <w:tc>
          <w:tcPr>
            <w:tcW w:w="3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 </w:t>
            </w:r>
          </w:p>
        </w:tc>
      </w:tr>
    </w:tbl>
    <w:p w:rsidR="00604DAF" w:rsidRDefault="00604DAF" w:rsidP="00604DAF">
      <w:pPr>
        <w:spacing w:line="240" w:lineRule="atLeast"/>
        <w:rPr>
          <w:rFonts w:ascii="Calibri Light" w:hAnsi="Calibri Light" w:cs="Calibri Light"/>
          <w:color w:val="1F497D"/>
          <w:sz w:val="24"/>
          <w:szCs w:val="24"/>
          <w:lang w:eastAsia="es-NI"/>
        </w:rPr>
      </w:pPr>
    </w:p>
    <w:tbl>
      <w:tblPr>
        <w:tblW w:w="4395" w:type="dxa"/>
        <w:tblInd w:w="-8" w:type="dxa"/>
        <w:tblCellMar>
          <w:left w:w="0" w:type="dxa"/>
          <w:right w:w="0" w:type="dxa"/>
        </w:tblCellMar>
        <w:tblLook w:val="04A0" w:firstRow="1" w:lastRow="0" w:firstColumn="1" w:lastColumn="0" w:noHBand="0" w:noVBand="1"/>
      </w:tblPr>
      <w:tblGrid>
        <w:gridCol w:w="1200"/>
        <w:gridCol w:w="3195"/>
      </w:tblGrid>
      <w:tr w:rsidR="00604DAF" w:rsidTr="00604DAF">
        <w:trPr>
          <w:trHeight w:val="315"/>
        </w:trPr>
        <w:tc>
          <w:tcPr>
            <w:tcW w:w="12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Año</w:t>
            </w:r>
          </w:p>
        </w:tc>
        <w:tc>
          <w:tcPr>
            <w:tcW w:w="319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604DAF" w:rsidRDefault="00604DAF">
            <w:pPr>
              <w:spacing w:line="240" w:lineRule="atLeast"/>
              <w:jc w:val="center"/>
              <w:rPr>
                <w:rFonts w:ascii="Calibri Light" w:hAnsi="Calibri Light" w:cs="Calibri Light"/>
                <w:sz w:val="24"/>
                <w:szCs w:val="24"/>
                <w:lang w:eastAsia="es-NI"/>
              </w:rPr>
            </w:pPr>
            <w:r>
              <w:rPr>
                <w:rFonts w:ascii="Calibri Light" w:hAnsi="Calibri Light" w:cs="Calibri Light"/>
                <w:sz w:val="24"/>
                <w:szCs w:val="24"/>
                <w:lang w:eastAsia="es-NI"/>
              </w:rPr>
              <w:t>Exportaciones (dólares)</w:t>
            </w:r>
          </w:p>
        </w:tc>
      </w:tr>
      <w:tr w:rsidR="00604DAF" w:rsidTr="00604DAF">
        <w:trPr>
          <w:trHeight w:val="31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2009</w:t>
            </w:r>
          </w:p>
        </w:tc>
        <w:tc>
          <w:tcPr>
            <w:tcW w:w="3195"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04DAF" w:rsidRDefault="00604DAF">
            <w:pPr>
              <w:spacing w:line="240" w:lineRule="atLeast"/>
              <w:rPr>
                <w:rFonts w:ascii="Calibri Light" w:hAnsi="Calibri Light" w:cs="Calibri Light"/>
                <w:sz w:val="24"/>
                <w:szCs w:val="24"/>
                <w:lang w:eastAsia="es-NI"/>
              </w:rPr>
            </w:pPr>
          </w:p>
        </w:tc>
      </w:tr>
      <w:tr w:rsidR="00604DAF" w:rsidTr="00604DAF">
        <w:trPr>
          <w:trHeight w:val="31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2010</w:t>
            </w:r>
          </w:p>
        </w:tc>
        <w:tc>
          <w:tcPr>
            <w:tcW w:w="3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 </w:t>
            </w:r>
          </w:p>
        </w:tc>
      </w:tr>
      <w:tr w:rsidR="00604DAF" w:rsidTr="00604DAF">
        <w:trPr>
          <w:trHeight w:val="31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2011</w:t>
            </w:r>
          </w:p>
        </w:tc>
        <w:tc>
          <w:tcPr>
            <w:tcW w:w="3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 </w:t>
            </w:r>
          </w:p>
        </w:tc>
      </w:tr>
      <w:tr w:rsidR="00604DAF" w:rsidTr="00604DAF">
        <w:trPr>
          <w:trHeight w:val="31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2012</w:t>
            </w:r>
          </w:p>
        </w:tc>
        <w:tc>
          <w:tcPr>
            <w:tcW w:w="3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 </w:t>
            </w:r>
          </w:p>
        </w:tc>
      </w:tr>
      <w:tr w:rsidR="00604DAF" w:rsidTr="00604DAF">
        <w:trPr>
          <w:trHeight w:val="31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2013</w:t>
            </w:r>
          </w:p>
        </w:tc>
        <w:tc>
          <w:tcPr>
            <w:tcW w:w="3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 </w:t>
            </w:r>
          </w:p>
        </w:tc>
      </w:tr>
      <w:tr w:rsidR="00604DAF" w:rsidTr="00604DAF">
        <w:trPr>
          <w:trHeight w:val="31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2014</w:t>
            </w:r>
          </w:p>
        </w:tc>
        <w:tc>
          <w:tcPr>
            <w:tcW w:w="3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 </w:t>
            </w:r>
          </w:p>
        </w:tc>
      </w:tr>
      <w:tr w:rsidR="00604DAF" w:rsidTr="00604DAF">
        <w:trPr>
          <w:trHeight w:val="31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2015</w:t>
            </w:r>
          </w:p>
        </w:tc>
        <w:tc>
          <w:tcPr>
            <w:tcW w:w="3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 </w:t>
            </w:r>
          </w:p>
        </w:tc>
      </w:tr>
      <w:tr w:rsidR="00604DAF" w:rsidTr="00604DAF">
        <w:trPr>
          <w:trHeight w:val="31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2016</w:t>
            </w:r>
          </w:p>
        </w:tc>
        <w:tc>
          <w:tcPr>
            <w:tcW w:w="3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 </w:t>
            </w:r>
          </w:p>
        </w:tc>
      </w:tr>
      <w:tr w:rsidR="00604DAF" w:rsidTr="00604DAF">
        <w:trPr>
          <w:trHeight w:val="31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2017</w:t>
            </w:r>
          </w:p>
        </w:tc>
        <w:tc>
          <w:tcPr>
            <w:tcW w:w="3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 </w:t>
            </w:r>
          </w:p>
        </w:tc>
      </w:tr>
      <w:tr w:rsidR="00604DAF" w:rsidTr="00604DAF">
        <w:trPr>
          <w:trHeight w:val="31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2018</w:t>
            </w:r>
          </w:p>
        </w:tc>
        <w:tc>
          <w:tcPr>
            <w:tcW w:w="3195"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04DAF" w:rsidRDefault="00604DAF">
            <w:pPr>
              <w:spacing w:line="240" w:lineRule="atLeast"/>
              <w:rPr>
                <w:rFonts w:ascii="Calibri Light" w:hAnsi="Calibri Light" w:cs="Calibri Light"/>
                <w:sz w:val="24"/>
                <w:szCs w:val="24"/>
                <w:lang w:eastAsia="es-NI"/>
              </w:rPr>
            </w:pPr>
          </w:p>
        </w:tc>
      </w:tr>
      <w:tr w:rsidR="00604DAF" w:rsidTr="00604DAF">
        <w:trPr>
          <w:trHeight w:val="31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TOTAL</w:t>
            </w:r>
          </w:p>
        </w:tc>
        <w:tc>
          <w:tcPr>
            <w:tcW w:w="3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 </w:t>
            </w:r>
          </w:p>
        </w:tc>
      </w:tr>
    </w:tbl>
    <w:p w:rsidR="00604DAF" w:rsidRDefault="00604DAF" w:rsidP="00604DAF">
      <w:pPr>
        <w:spacing w:line="240" w:lineRule="atLeast"/>
        <w:rPr>
          <w:rFonts w:ascii="Calibri Light" w:hAnsi="Calibri Light" w:cs="Calibri Light"/>
          <w:color w:val="1F497D"/>
          <w:sz w:val="24"/>
          <w:szCs w:val="24"/>
          <w:lang w:eastAsia="es-NI"/>
        </w:rPr>
      </w:pPr>
    </w:p>
    <w:p w:rsidR="00604DAF" w:rsidRDefault="00604DAF" w:rsidP="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También le solicitamos información sobre las proyecciones que</w:t>
      </w:r>
      <w:r>
        <w:rPr>
          <w:rFonts w:ascii="Calibri Light" w:hAnsi="Calibri Light" w:cs="Calibri Light"/>
          <w:color w:val="1F497D"/>
          <w:sz w:val="24"/>
          <w:szCs w:val="24"/>
          <w:lang w:eastAsia="es-NI"/>
        </w:rPr>
        <w:t xml:space="preserve"> </w:t>
      </w:r>
      <w:r>
        <w:rPr>
          <w:rFonts w:ascii="Calibri Light" w:hAnsi="Calibri Light" w:cs="Calibri Light"/>
          <w:sz w:val="24"/>
          <w:szCs w:val="24"/>
          <w:lang w:eastAsia="es-NI"/>
        </w:rPr>
        <w:t>va a realizar en los próximos 3 años, igual a que el punto anterior sugerimos el siguiente cuadro a manera de guía.</w:t>
      </w:r>
    </w:p>
    <w:p w:rsidR="00604DAF" w:rsidRDefault="00604DAF" w:rsidP="00604DAF">
      <w:pPr>
        <w:spacing w:line="240" w:lineRule="atLeast"/>
        <w:rPr>
          <w:rFonts w:ascii="Calibri Light" w:hAnsi="Calibri Light" w:cs="Calibri Light"/>
          <w:sz w:val="24"/>
          <w:szCs w:val="24"/>
          <w:lang w:eastAsia="es-NI"/>
        </w:rPr>
      </w:pPr>
    </w:p>
    <w:tbl>
      <w:tblPr>
        <w:tblW w:w="4673" w:type="dxa"/>
        <w:tblInd w:w="-3" w:type="dxa"/>
        <w:tblCellMar>
          <w:left w:w="0" w:type="dxa"/>
          <w:right w:w="0" w:type="dxa"/>
        </w:tblCellMar>
        <w:tblLook w:val="04A0" w:firstRow="1" w:lastRow="0" w:firstColumn="1" w:lastColumn="0" w:noHBand="0" w:noVBand="1"/>
      </w:tblPr>
      <w:tblGrid>
        <w:gridCol w:w="1200"/>
        <w:gridCol w:w="3473"/>
      </w:tblGrid>
      <w:tr w:rsidR="00604DAF" w:rsidTr="00CC300D">
        <w:trPr>
          <w:trHeight w:val="300"/>
        </w:trPr>
        <w:tc>
          <w:tcPr>
            <w:tcW w:w="12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Año</w:t>
            </w:r>
          </w:p>
        </w:tc>
        <w:tc>
          <w:tcPr>
            <w:tcW w:w="347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04DAF" w:rsidRDefault="00604DAF" w:rsidP="00CC300D">
            <w:pPr>
              <w:spacing w:line="240" w:lineRule="atLeast"/>
              <w:jc w:val="center"/>
              <w:rPr>
                <w:rFonts w:ascii="Calibri Light" w:hAnsi="Calibri Light" w:cs="Calibri Light"/>
                <w:sz w:val="24"/>
                <w:szCs w:val="24"/>
                <w:lang w:eastAsia="es-NI"/>
              </w:rPr>
            </w:pPr>
            <w:r>
              <w:rPr>
                <w:rFonts w:ascii="Calibri Light" w:hAnsi="Calibri Light" w:cs="Calibri Light"/>
                <w:sz w:val="24"/>
                <w:szCs w:val="24"/>
                <w:lang w:eastAsia="es-NI"/>
              </w:rPr>
              <w:t>Inversión</w:t>
            </w:r>
            <w:r w:rsidR="00CC300D">
              <w:rPr>
                <w:rFonts w:ascii="Calibri Light" w:hAnsi="Calibri Light" w:cs="Calibri Light"/>
                <w:sz w:val="24"/>
                <w:szCs w:val="24"/>
                <w:lang w:eastAsia="es-NI"/>
              </w:rPr>
              <w:t xml:space="preserve"> </w:t>
            </w:r>
            <w:r>
              <w:rPr>
                <w:rFonts w:ascii="Calibri Light" w:hAnsi="Calibri Light" w:cs="Calibri Light"/>
                <w:sz w:val="24"/>
                <w:szCs w:val="24"/>
                <w:lang w:eastAsia="es-NI"/>
              </w:rPr>
              <w:t>en Dólares</w:t>
            </w:r>
          </w:p>
        </w:tc>
      </w:tr>
      <w:tr w:rsidR="00604DAF" w:rsidTr="00CC300D">
        <w:trPr>
          <w:trHeight w:val="300"/>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2020</w:t>
            </w:r>
          </w:p>
        </w:tc>
        <w:tc>
          <w:tcPr>
            <w:tcW w:w="34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 </w:t>
            </w:r>
          </w:p>
        </w:tc>
      </w:tr>
      <w:tr w:rsidR="00604DAF" w:rsidTr="00CC300D">
        <w:trPr>
          <w:trHeight w:val="300"/>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2021</w:t>
            </w:r>
          </w:p>
        </w:tc>
        <w:tc>
          <w:tcPr>
            <w:tcW w:w="34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 </w:t>
            </w:r>
          </w:p>
        </w:tc>
      </w:tr>
      <w:tr w:rsidR="00604DAF" w:rsidTr="00CC300D">
        <w:trPr>
          <w:trHeight w:val="300"/>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2022</w:t>
            </w:r>
          </w:p>
        </w:tc>
        <w:tc>
          <w:tcPr>
            <w:tcW w:w="3473"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604DAF" w:rsidRDefault="00604DAF">
            <w:pPr>
              <w:spacing w:line="240" w:lineRule="atLeast"/>
              <w:rPr>
                <w:rFonts w:ascii="Calibri Light" w:hAnsi="Calibri Light" w:cs="Calibri Light"/>
                <w:sz w:val="24"/>
                <w:szCs w:val="24"/>
                <w:lang w:eastAsia="es-NI"/>
              </w:rPr>
            </w:pPr>
          </w:p>
        </w:tc>
      </w:tr>
      <w:tr w:rsidR="00604DAF" w:rsidTr="00CC300D">
        <w:trPr>
          <w:trHeight w:val="300"/>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TOTAL</w:t>
            </w:r>
          </w:p>
        </w:tc>
        <w:tc>
          <w:tcPr>
            <w:tcW w:w="34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 </w:t>
            </w:r>
          </w:p>
        </w:tc>
      </w:tr>
    </w:tbl>
    <w:p w:rsidR="00604DAF" w:rsidRDefault="00604DAF" w:rsidP="00604DAF">
      <w:pPr>
        <w:spacing w:line="240" w:lineRule="atLeast"/>
        <w:rPr>
          <w:rFonts w:ascii="Calibri Light" w:hAnsi="Calibri Light" w:cs="Calibri Light"/>
          <w:sz w:val="24"/>
          <w:szCs w:val="24"/>
          <w:lang w:eastAsia="es-NI"/>
        </w:rPr>
      </w:pPr>
    </w:p>
    <w:tbl>
      <w:tblPr>
        <w:tblW w:w="4678" w:type="dxa"/>
        <w:tblInd w:w="-8" w:type="dxa"/>
        <w:tblCellMar>
          <w:left w:w="0" w:type="dxa"/>
          <w:right w:w="0" w:type="dxa"/>
        </w:tblCellMar>
        <w:tblLook w:val="04A0" w:firstRow="1" w:lastRow="0" w:firstColumn="1" w:lastColumn="0" w:noHBand="0" w:noVBand="1"/>
      </w:tblPr>
      <w:tblGrid>
        <w:gridCol w:w="1200"/>
        <w:gridCol w:w="3478"/>
      </w:tblGrid>
      <w:tr w:rsidR="00604DAF" w:rsidTr="00604DAF">
        <w:trPr>
          <w:trHeight w:val="315"/>
        </w:trPr>
        <w:tc>
          <w:tcPr>
            <w:tcW w:w="12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Año</w:t>
            </w:r>
          </w:p>
        </w:tc>
        <w:tc>
          <w:tcPr>
            <w:tcW w:w="347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604DAF" w:rsidRDefault="00604DAF">
            <w:pPr>
              <w:spacing w:line="240" w:lineRule="atLeast"/>
              <w:jc w:val="center"/>
              <w:rPr>
                <w:rFonts w:ascii="Calibri Light" w:hAnsi="Calibri Light" w:cs="Calibri Light"/>
                <w:sz w:val="24"/>
                <w:szCs w:val="24"/>
                <w:lang w:eastAsia="es-NI"/>
              </w:rPr>
            </w:pPr>
            <w:r>
              <w:rPr>
                <w:rFonts w:ascii="Calibri Light" w:hAnsi="Calibri Light" w:cs="Calibri Light"/>
                <w:sz w:val="24"/>
                <w:szCs w:val="24"/>
                <w:lang w:eastAsia="es-NI"/>
              </w:rPr>
              <w:t>Generación de Empleos</w:t>
            </w:r>
          </w:p>
        </w:tc>
      </w:tr>
      <w:tr w:rsidR="00604DAF" w:rsidTr="00604DAF">
        <w:trPr>
          <w:trHeight w:val="31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2020</w:t>
            </w:r>
          </w:p>
        </w:tc>
        <w:tc>
          <w:tcPr>
            <w:tcW w:w="3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 </w:t>
            </w:r>
          </w:p>
        </w:tc>
      </w:tr>
      <w:tr w:rsidR="00604DAF" w:rsidTr="00604DAF">
        <w:trPr>
          <w:trHeight w:val="31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2021</w:t>
            </w:r>
          </w:p>
        </w:tc>
        <w:tc>
          <w:tcPr>
            <w:tcW w:w="3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 </w:t>
            </w:r>
          </w:p>
        </w:tc>
      </w:tr>
      <w:tr w:rsidR="00604DAF" w:rsidTr="00604DAF">
        <w:trPr>
          <w:trHeight w:val="31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2022</w:t>
            </w:r>
          </w:p>
        </w:tc>
        <w:tc>
          <w:tcPr>
            <w:tcW w:w="347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04DAF" w:rsidRDefault="00604DAF">
            <w:pPr>
              <w:spacing w:line="240" w:lineRule="atLeast"/>
              <w:rPr>
                <w:rFonts w:ascii="Calibri Light" w:hAnsi="Calibri Light" w:cs="Calibri Light"/>
                <w:sz w:val="24"/>
                <w:szCs w:val="24"/>
                <w:lang w:eastAsia="es-NI"/>
              </w:rPr>
            </w:pPr>
          </w:p>
        </w:tc>
      </w:tr>
      <w:tr w:rsidR="00604DAF" w:rsidTr="00604DAF">
        <w:trPr>
          <w:trHeight w:val="31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TOTAL</w:t>
            </w:r>
          </w:p>
        </w:tc>
        <w:tc>
          <w:tcPr>
            <w:tcW w:w="3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 </w:t>
            </w:r>
          </w:p>
        </w:tc>
      </w:tr>
    </w:tbl>
    <w:p w:rsidR="00604DAF" w:rsidRDefault="00604DAF" w:rsidP="00604DAF">
      <w:pPr>
        <w:spacing w:line="240" w:lineRule="atLeast"/>
        <w:rPr>
          <w:rFonts w:ascii="Calibri Light" w:hAnsi="Calibri Light" w:cs="Calibri Light"/>
          <w:color w:val="1F497D"/>
          <w:sz w:val="24"/>
          <w:szCs w:val="24"/>
          <w:lang w:eastAsia="es-NI"/>
        </w:rPr>
      </w:pPr>
    </w:p>
    <w:tbl>
      <w:tblPr>
        <w:tblW w:w="4678" w:type="dxa"/>
        <w:tblInd w:w="-8" w:type="dxa"/>
        <w:tblCellMar>
          <w:left w:w="0" w:type="dxa"/>
          <w:right w:w="0" w:type="dxa"/>
        </w:tblCellMar>
        <w:tblLook w:val="04A0" w:firstRow="1" w:lastRow="0" w:firstColumn="1" w:lastColumn="0" w:noHBand="0" w:noVBand="1"/>
      </w:tblPr>
      <w:tblGrid>
        <w:gridCol w:w="1200"/>
        <w:gridCol w:w="3478"/>
      </w:tblGrid>
      <w:tr w:rsidR="00604DAF" w:rsidTr="00604DAF">
        <w:trPr>
          <w:trHeight w:val="315"/>
        </w:trPr>
        <w:tc>
          <w:tcPr>
            <w:tcW w:w="12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Año</w:t>
            </w:r>
          </w:p>
        </w:tc>
        <w:tc>
          <w:tcPr>
            <w:tcW w:w="347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604DAF" w:rsidRDefault="00604DAF">
            <w:pPr>
              <w:spacing w:line="240" w:lineRule="atLeast"/>
              <w:jc w:val="center"/>
              <w:rPr>
                <w:rFonts w:ascii="Calibri Light" w:hAnsi="Calibri Light" w:cs="Calibri Light"/>
                <w:sz w:val="24"/>
                <w:szCs w:val="24"/>
                <w:lang w:eastAsia="es-NI"/>
              </w:rPr>
            </w:pPr>
            <w:r>
              <w:rPr>
                <w:rFonts w:ascii="Calibri Light" w:hAnsi="Calibri Light" w:cs="Calibri Light"/>
                <w:sz w:val="24"/>
                <w:szCs w:val="24"/>
                <w:lang w:eastAsia="es-NI"/>
              </w:rPr>
              <w:t>Exportaciones (dólares)</w:t>
            </w:r>
          </w:p>
        </w:tc>
      </w:tr>
      <w:tr w:rsidR="00604DAF" w:rsidTr="00604DAF">
        <w:trPr>
          <w:trHeight w:val="31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2020</w:t>
            </w:r>
          </w:p>
        </w:tc>
        <w:tc>
          <w:tcPr>
            <w:tcW w:w="3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 </w:t>
            </w:r>
          </w:p>
        </w:tc>
      </w:tr>
      <w:tr w:rsidR="00604DAF" w:rsidTr="00604DAF">
        <w:trPr>
          <w:trHeight w:val="31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2021</w:t>
            </w:r>
          </w:p>
        </w:tc>
        <w:tc>
          <w:tcPr>
            <w:tcW w:w="3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 </w:t>
            </w:r>
          </w:p>
        </w:tc>
      </w:tr>
      <w:tr w:rsidR="00604DAF" w:rsidTr="00604DAF">
        <w:trPr>
          <w:trHeight w:val="31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2022</w:t>
            </w:r>
          </w:p>
        </w:tc>
        <w:tc>
          <w:tcPr>
            <w:tcW w:w="347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04DAF" w:rsidRDefault="00604DAF">
            <w:pPr>
              <w:spacing w:line="240" w:lineRule="atLeast"/>
              <w:rPr>
                <w:rFonts w:ascii="Calibri Light" w:hAnsi="Calibri Light" w:cs="Calibri Light"/>
                <w:sz w:val="24"/>
                <w:szCs w:val="24"/>
                <w:lang w:eastAsia="es-NI"/>
              </w:rPr>
            </w:pPr>
          </w:p>
        </w:tc>
      </w:tr>
      <w:tr w:rsidR="00604DAF" w:rsidTr="00604DAF">
        <w:trPr>
          <w:trHeight w:val="31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TOTAL</w:t>
            </w:r>
          </w:p>
        </w:tc>
        <w:tc>
          <w:tcPr>
            <w:tcW w:w="3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4DAF" w:rsidRDefault="00604DAF">
            <w:pPr>
              <w:spacing w:line="240" w:lineRule="atLeast"/>
              <w:rPr>
                <w:rFonts w:ascii="Calibri Light" w:hAnsi="Calibri Light" w:cs="Calibri Light"/>
                <w:sz w:val="24"/>
                <w:szCs w:val="24"/>
                <w:lang w:eastAsia="es-NI"/>
              </w:rPr>
            </w:pPr>
            <w:r>
              <w:rPr>
                <w:rFonts w:ascii="Calibri Light" w:hAnsi="Calibri Light" w:cs="Calibri Light"/>
                <w:sz w:val="24"/>
                <w:szCs w:val="24"/>
                <w:lang w:eastAsia="es-NI"/>
              </w:rPr>
              <w:t> </w:t>
            </w:r>
          </w:p>
        </w:tc>
      </w:tr>
    </w:tbl>
    <w:p w:rsidR="00604DAF" w:rsidRPr="00604DAF" w:rsidRDefault="00604DAF" w:rsidP="00604DAF">
      <w:pPr>
        <w:jc w:val="both"/>
        <w:rPr>
          <w:rFonts w:asciiTheme="majorHAnsi" w:hAnsiTheme="majorHAnsi" w:cstheme="majorHAnsi"/>
          <w:sz w:val="24"/>
          <w:szCs w:val="24"/>
          <w:lang w:val="es-MX"/>
        </w:rPr>
      </w:pPr>
    </w:p>
    <w:sectPr w:rsidR="00604DAF" w:rsidRPr="00604D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54D3E"/>
    <w:multiLevelType w:val="hybridMultilevel"/>
    <w:tmpl w:val="E60ABE9A"/>
    <w:lvl w:ilvl="0" w:tplc="4C0A0011">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 w15:restartNumberingAfterBreak="0">
    <w:nsid w:val="6B38198E"/>
    <w:multiLevelType w:val="hybridMultilevel"/>
    <w:tmpl w:val="E60ABE9A"/>
    <w:lvl w:ilvl="0" w:tplc="4C0A0011">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AEC"/>
    <w:rsid w:val="002314E4"/>
    <w:rsid w:val="00604DAF"/>
    <w:rsid w:val="00607A64"/>
    <w:rsid w:val="006A791F"/>
    <w:rsid w:val="00A33AEC"/>
    <w:rsid w:val="00AB4182"/>
    <w:rsid w:val="00CC300D"/>
    <w:rsid w:val="00E05CF2"/>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144A"/>
  <w15:chartTrackingRefBased/>
  <w15:docId w15:val="{9902D0C0-9B51-459F-8C14-217D9689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7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78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552</Words>
  <Characters>3037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Javier Delgado Meza</dc:creator>
  <cp:keywords/>
  <dc:description/>
  <cp:lastModifiedBy>Mario Javier Delgado Meza</cp:lastModifiedBy>
  <cp:revision>2</cp:revision>
  <dcterms:created xsi:type="dcterms:W3CDTF">2019-09-23T15:49:00Z</dcterms:created>
  <dcterms:modified xsi:type="dcterms:W3CDTF">2019-09-23T21:30:00Z</dcterms:modified>
</cp:coreProperties>
</file>